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附件1：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讲文明树新风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公益广告作品标准要求</w:t>
      </w:r>
    </w:p>
    <w:bookmarkEnd w:id="0"/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pStyle w:val="5"/>
        <w:spacing w:line="580" w:lineRule="exact"/>
        <w:ind w:firstLine="640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</w:rPr>
        <w:t>（一）平面类作品。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可用单图或者系列图的展现形式，作者需保留300dpi分辨率可用于印刷生产的位图源文件或矢量文件，内容需适合互联网传播以及大型户外广告喷绘需求。作品存为RGB模式，按照“文件名．TIF”或“文件名．JPG”格式署名。</w:t>
      </w:r>
    </w:p>
    <w:p>
      <w:pPr>
        <w:pStyle w:val="5"/>
        <w:spacing w:line="580" w:lineRule="exact"/>
        <w:ind w:firstLine="640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</w:rPr>
        <w:t>（二）音频类作品。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按照“文件名．MP3”格式，与公益广告词的Word文稿一并报送。</w:t>
      </w:r>
    </w:p>
    <w:p>
      <w:pPr>
        <w:pStyle w:val="5"/>
        <w:spacing w:line="580" w:lineRule="exact"/>
        <w:ind w:firstLine="640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</w:rPr>
        <w:t>（三）视频类作品。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为满足全媒体播出要求，作品统一为AVI或MPG格式，不低于720×576标清像素，必须带有中文字幕。动漫、flash作品按照最常用的格式报送。作品统一按照“作品文件名．**格式”署名。</w:t>
      </w:r>
    </w:p>
    <w:p>
      <w:pPr>
        <w:pStyle w:val="5"/>
        <w:spacing w:line="580" w:lineRule="exact"/>
        <w:ind w:firstLine="640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32"/>
          <w:szCs w:val="32"/>
        </w:rPr>
        <w:t>（四）多人合作作品。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需征得所有合作者同意并标明主要合作者姓名，包括创意提供、文案撰写等信息。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01288"/>
    <w:rsid w:val="110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正文"/>
    <w:basedOn w:val="1"/>
    <w:qFormat/>
    <w:uiPriority w:val="0"/>
    <w:pPr>
      <w:ind w:firstLine="200" w:firstLineChars="200"/>
    </w:pPr>
    <w:rPr>
      <w:rFonts w:ascii="Times New Roman" w:hAnsi="Times New Roman" w:eastAsia="仿宋_GB2312"/>
      <w:sz w:val="32"/>
    </w:rPr>
  </w:style>
  <w:style w:type="paragraph" w:customStyle="1" w:styleId="5">
    <w:name w:val="newstyle16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2018-03-20T03:27:00Z</dcterms:created>
  <dc:creator>徽风皖韵</dc:creator>
  <cp:lastModifiedBy>徽风皖韵</cp:lastModifiedBy>
  <dcterms:modified xsi:type="dcterms:W3CDTF">2018-03-20T03:30:03Z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