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hAnsiTheme="majorEastAsia"/>
          <w:b/>
          <w:sz w:val="44"/>
          <w:szCs w:val="44"/>
        </w:rPr>
      </w:pPr>
      <w:bookmarkStart w:id="0" w:name="_GoBack"/>
      <w:bookmarkEnd w:id="0"/>
      <w:r>
        <w:rPr>
          <w:rFonts w:hint="eastAsia" w:ascii="方正小标宋简体" w:eastAsia="方正小标宋简体" w:hAnsiTheme="majorEastAsia"/>
          <w:b/>
          <w:sz w:val="44"/>
          <w:szCs w:val="44"/>
        </w:rPr>
        <w:t>关于征集2019年“我们的节日”主题活动创意方案的通知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各乡镇，县直各单位，：</w:t>
      </w:r>
    </w:p>
    <w:p>
      <w:pPr>
        <w:ind w:firstLine="640" w:firstLineChars="200"/>
        <w:rPr>
          <w:rFonts w:ascii="仿宋_GB2312" w:eastAsia="仿宋_GB2312"/>
          <w:sz w:val="32"/>
          <w:szCs w:val="32"/>
        </w:rPr>
      </w:pPr>
      <w:r>
        <w:rPr>
          <w:rFonts w:hint="eastAsia" w:ascii="仿宋_GB2312" w:eastAsia="仿宋_GB2312"/>
          <w:sz w:val="32"/>
          <w:szCs w:val="32"/>
        </w:rPr>
        <w:t>“我们的节日”系列主题活动是新时代文明实践活动的重要内容，也是全国文明城市创建的重要指标。为进一步办好“我们的节日”主题活动，引导广大群众积极主动参与到传统节日文化活动中来，不断增强对中华优秀传统文化的认同感和自豪感。经研究，决定面向全县征集2019年“我们的节日”系列主题活动创意方案。现将有关事项通知如下：</w:t>
      </w:r>
    </w:p>
    <w:p>
      <w:pPr>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　一、征集时间</w:t>
      </w:r>
    </w:p>
    <w:p>
      <w:pPr>
        <w:rPr>
          <w:rFonts w:ascii="仿宋_GB2312" w:eastAsia="仿宋_GB2312"/>
          <w:sz w:val="32"/>
          <w:szCs w:val="32"/>
        </w:rPr>
      </w:pPr>
      <w:r>
        <w:rPr>
          <w:rFonts w:hint="eastAsia" w:ascii="仿宋_GB2312" w:eastAsia="仿宋_GB2312"/>
          <w:sz w:val="32"/>
          <w:szCs w:val="32"/>
        </w:rPr>
        <w:t>　　2019年3月4日—3月20日。</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二、征集对象</w:t>
      </w:r>
    </w:p>
    <w:p>
      <w:pPr>
        <w:ind w:firstLine="630"/>
        <w:rPr>
          <w:rFonts w:ascii="仿宋_GB2312" w:eastAsia="仿宋_GB2312"/>
          <w:sz w:val="32"/>
          <w:szCs w:val="32"/>
        </w:rPr>
      </w:pPr>
      <w:r>
        <w:rPr>
          <w:rFonts w:hint="eastAsia" w:ascii="仿宋_GB2312" w:eastAsia="仿宋_GB2312"/>
          <w:sz w:val="32"/>
          <w:szCs w:val="32"/>
        </w:rPr>
        <w:t>1、各乡镇，村社区（由乡镇统一报送）。</w:t>
      </w:r>
    </w:p>
    <w:p>
      <w:pPr>
        <w:ind w:firstLine="630"/>
        <w:rPr>
          <w:rFonts w:ascii="仿宋_GB2312" w:eastAsia="仿宋_GB2312"/>
          <w:sz w:val="32"/>
          <w:szCs w:val="32"/>
        </w:rPr>
      </w:pPr>
      <w:r>
        <w:rPr>
          <w:rFonts w:hint="eastAsia" w:ascii="仿宋_GB2312" w:eastAsia="仿宋_GB2312"/>
          <w:sz w:val="32"/>
          <w:szCs w:val="32"/>
        </w:rPr>
        <w:t>2、全县各级文明单位。</w:t>
      </w:r>
    </w:p>
    <w:p>
      <w:pPr>
        <w:rPr>
          <w:rFonts w:ascii="仿宋_GB2312" w:eastAsia="仿宋_GB2312"/>
          <w:sz w:val="32"/>
          <w:szCs w:val="32"/>
        </w:rPr>
      </w:pPr>
      <w:r>
        <w:rPr>
          <w:rFonts w:hint="eastAsia" w:ascii="仿宋_GB2312" w:eastAsia="仿宋_GB2312"/>
          <w:sz w:val="32"/>
          <w:szCs w:val="32"/>
        </w:rPr>
        <w:t>　　3、具有独立法人资质的社会组织、企事业单位、文化企业等。</w:t>
      </w:r>
    </w:p>
    <w:p>
      <w:pPr>
        <w:rPr>
          <w:rFonts w:ascii="黑体" w:hAnsi="黑体" w:eastAsia="黑体"/>
          <w:sz w:val="32"/>
          <w:szCs w:val="32"/>
        </w:rPr>
      </w:pPr>
      <w:r>
        <w:rPr>
          <w:rFonts w:hint="eastAsia" w:ascii="黑体" w:hAnsi="黑体" w:eastAsia="黑体"/>
          <w:sz w:val="32"/>
          <w:szCs w:val="32"/>
        </w:rPr>
        <w:t>　　三、注意事项</w:t>
      </w:r>
    </w:p>
    <w:p>
      <w:pPr>
        <w:rPr>
          <w:rFonts w:ascii="仿宋_GB2312" w:eastAsia="仿宋_GB2312"/>
          <w:sz w:val="32"/>
          <w:szCs w:val="32"/>
        </w:rPr>
      </w:pPr>
      <w:r>
        <w:rPr>
          <w:rFonts w:hint="eastAsia" w:ascii="仿宋_GB2312" w:eastAsia="仿宋_GB2312"/>
          <w:sz w:val="32"/>
          <w:szCs w:val="32"/>
        </w:rPr>
        <w:t>　　参与申报的创意方案需注意以下6个方面：</w:t>
      </w:r>
    </w:p>
    <w:p>
      <w:pPr>
        <w:rPr>
          <w:rFonts w:ascii="仿宋_GB2312" w:eastAsia="仿宋_GB2312"/>
          <w:sz w:val="32"/>
          <w:szCs w:val="32"/>
        </w:rPr>
      </w:pPr>
      <w:r>
        <w:rPr>
          <w:rFonts w:hint="eastAsia" w:ascii="仿宋_GB2312" w:eastAsia="仿宋_GB2312"/>
          <w:sz w:val="32"/>
          <w:szCs w:val="32"/>
        </w:rPr>
        <w:t>　　1、创意方案需围绕春节、元宵、清明、端午、七夕、中秋、重阳等重要传统节日或重要节气进行策划，可以选择全部7个传统节日（节气）进行，也可以选择其中某一个或几个节日（节气）；</w:t>
      </w:r>
    </w:p>
    <w:p>
      <w:pPr>
        <w:rPr>
          <w:rFonts w:ascii="仿宋_GB2312" w:eastAsia="仿宋_GB2312"/>
          <w:sz w:val="32"/>
          <w:szCs w:val="32"/>
        </w:rPr>
      </w:pPr>
      <w:r>
        <w:rPr>
          <w:rFonts w:hint="eastAsia" w:ascii="仿宋_GB2312" w:eastAsia="仿宋_GB2312"/>
          <w:sz w:val="32"/>
          <w:szCs w:val="32"/>
        </w:rPr>
        <w:t>　　2、创意方案需面向以未成年人为重点的全体社会成员，活动开展地在广德县域内；</w:t>
      </w:r>
    </w:p>
    <w:p>
      <w:pPr>
        <w:rPr>
          <w:rFonts w:ascii="仿宋_GB2312" w:eastAsia="仿宋_GB2312"/>
          <w:sz w:val="32"/>
          <w:szCs w:val="32"/>
        </w:rPr>
      </w:pPr>
      <w:r>
        <w:rPr>
          <w:rFonts w:hint="eastAsia" w:ascii="仿宋_GB2312" w:eastAsia="仿宋_GB2312"/>
          <w:sz w:val="32"/>
          <w:szCs w:val="32"/>
        </w:rPr>
        <w:t>　　3、创意方案需以突出春节和元宵之喜庆、清明之缅怀、端午之爱国、七夕之忠贞、中秋之团圆、重阳之敬老等主题，突出弘扬和传播中华优秀传统文化、广德地方历史文化，有效发挥中华传统节日对涵养社会主义核心价值观的积极作用为主要目标；</w:t>
      </w:r>
    </w:p>
    <w:p>
      <w:pPr>
        <w:rPr>
          <w:rFonts w:ascii="仿宋_GB2312" w:eastAsia="仿宋_GB2312"/>
          <w:sz w:val="32"/>
          <w:szCs w:val="32"/>
        </w:rPr>
      </w:pPr>
      <w:r>
        <w:rPr>
          <w:rFonts w:hint="eastAsia" w:ascii="仿宋_GB2312" w:eastAsia="仿宋_GB2312"/>
          <w:sz w:val="32"/>
          <w:szCs w:val="32"/>
        </w:rPr>
        <w:t>　　4、创意方案需立足各个传统节日的不同特点，考虑时代发展特点，体现传统节日的源起、习俗、内涵和载体等各个方面，契合当下群众的审美情趣、接受能力和心理特点；</w:t>
      </w:r>
    </w:p>
    <w:p>
      <w:pPr>
        <w:rPr>
          <w:rFonts w:ascii="仿宋_GB2312" w:eastAsia="仿宋_GB2312"/>
          <w:sz w:val="32"/>
          <w:szCs w:val="32"/>
        </w:rPr>
      </w:pPr>
      <w:r>
        <w:rPr>
          <w:rFonts w:hint="eastAsia" w:ascii="仿宋_GB2312" w:eastAsia="仿宋_GB2312"/>
          <w:sz w:val="32"/>
          <w:szCs w:val="32"/>
        </w:rPr>
        <w:t>　　5、创意方案需充分考虑活动的丰富性、教育性、群众性、互动性和仪式感、地方化；</w:t>
      </w:r>
    </w:p>
    <w:p>
      <w:pPr>
        <w:rPr>
          <w:rFonts w:ascii="仿宋_GB2312" w:eastAsia="仿宋_GB2312"/>
          <w:sz w:val="32"/>
          <w:szCs w:val="32"/>
        </w:rPr>
      </w:pPr>
      <w:r>
        <w:rPr>
          <w:rFonts w:hint="eastAsia" w:ascii="仿宋_GB2312" w:eastAsia="仿宋_GB2312"/>
          <w:sz w:val="32"/>
          <w:szCs w:val="32"/>
        </w:rPr>
        <w:t>　　6、创意方案需综合考虑运用传统媒体、新媒体和社会媒介，既形成贯穿全年的宣传安排，又有阶段性的报道重点，努力营造浓厚的社会舆论氛围。</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四、报送办法</w:t>
      </w:r>
    </w:p>
    <w:p>
      <w:pPr>
        <w:ind w:firstLine="645"/>
        <w:rPr>
          <w:rFonts w:ascii="仿宋_GB2312" w:eastAsia="仿宋_GB2312"/>
          <w:sz w:val="32"/>
          <w:szCs w:val="32"/>
        </w:rPr>
      </w:pPr>
      <w:r>
        <w:rPr>
          <w:rFonts w:hint="eastAsia" w:ascii="仿宋_GB2312" w:eastAsia="仿宋_GB2312"/>
          <w:sz w:val="32"/>
          <w:szCs w:val="32"/>
        </w:rPr>
        <w:t>请报送单位围绕认真填写《广德县“我们的节日”主题活动创意方案申报表》（见附件）并加盖本单位公章后（村社区由各乡镇汇总筛选后统一报送），在2018年3月20日下午下班前报广德县创建办道德科处，联系电话：6022503；电子稿发送ahgdwmb@126.com。县文明办将在汇总整理所有方案后，邀请人员进行论证，从中选出优秀的方案作为2019年全县“我们的节日”主题活动的重要参考，并予以选用的优秀方案适度补助。所有报送的方案县文明办自然拥有使用权。</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附件：广德县“我们的节日”主题活动创意方案申报表</w:t>
      </w:r>
    </w:p>
    <w:p>
      <w:pPr>
        <w:ind w:firstLine="645"/>
        <w:rPr>
          <w:rFonts w:ascii="仿宋_GB2312" w:eastAsia="仿宋_GB2312"/>
          <w:sz w:val="32"/>
          <w:szCs w:val="32"/>
        </w:rPr>
      </w:pPr>
    </w:p>
    <w:p>
      <w:pPr>
        <w:ind w:firstLine="645"/>
        <w:jc w:val="right"/>
        <w:rPr>
          <w:rFonts w:ascii="仿宋_GB2312" w:eastAsia="仿宋_GB2312"/>
          <w:sz w:val="32"/>
          <w:szCs w:val="32"/>
        </w:rPr>
      </w:pPr>
      <w:r>
        <w:rPr>
          <w:rFonts w:hint="eastAsia" w:ascii="仿宋_GB2312" w:eastAsia="仿宋_GB2312"/>
          <w:sz w:val="32"/>
          <w:szCs w:val="32"/>
        </w:rPr>
        <w:t>广德县文明办</w:t>
      </w:r>
    </w:p>
    <w:p>
      <w:pPr>
        <w:ind w:firstLine="645"/>
        <w:jc w:val="right"/>
        <w:rPr>
          <w:rFonts w:ascii="仿宋_GB2312" w:eastAsia="仿宋_GB2312"/>
          <w:sz w:val="32"/>
          <w:szCs w:val="32"/>
        </w:rPr>
      </w:pPr>
      <w:r>
        <w:rPr>
          <w:rFonts w:hint="eastAsia" w:ascii="仿宋_GB2312" w:eastAsia="仿宋_GB2312"/>
          <w:sz w:val="32"/>
          <w:szCs w:val="32"/>
        </w:rPr>
        <w:t>2019年3月4日</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700" w:lineRule="exact"/>
        <w:jc w:val="left"/>
        <w:rPr>
          <w:rFonts w:hint="eastAsia" w:ascii="黑体" w:hAnsi="黑体" w:eastAsia="黑体"/>
          <w:sz w:val="32"/>
          <w:szCs w:val="32"/>
        </w:rPr>
      </w:pPr>
      <w:r>
        <w:rPr>
          <w:rFonts w:hint="eastAsia" w:ascii="黑体" w:hAnsi="黑体" w:eastAsia="黑体"/>
          <w:sz w:val="32"/>
          <w:szCs w:val="32"/>
        </w:rPr>
        <w:t>附件：</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广德县“我们的节日”主题活动创意方案</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申</w:t>
      </w:r>
      <w:r>
        <w:rPr>
          <w:rFonts w:ascii="方正小标宋简体" w:eastAsia="方正小标宋简体"/>
          <w:sz w:val="44"/>
          <w:szCs w:val="44"/>
        </w:rPr>
        <w:t xml:space="preserve">  </w:t>
      </w:r>
      <w:r>
        <w:rPr>
          <w:rFonts w:hint="eastAsia" w:ascii="方正小标宋简体" w:eastAsia="方正小标宋简体"/>
          <w:sz w:val="44"/>
          <w:szCs w:val="44"/>
        </w:rPr>
        <w:t>报</w:t>
      </w:r>
      <w:r>
        <w:rPr>
          <w:rFonts w:ascii="方正小标宋简体" w:eastAsia="方正小标宋简体"/>
          <w:sz w:val="44"/>
          <w:szCs w:val="44"/>
        </w:rPr>
        <w:t xml:space="preserve">  </w:t>
      </w:r>
      <w:r>
        <w:rPr>
          <w:rFonts w:hint="eastAsia" w:ascii="方正小标宋简体" w:eastAsia="方正小标宋简体"/>
          <w:sz w:val="44"/>
          <w:szCs w:val="44"/>
        </w:rPr>
        <w:t>表</w:t>
      </w:r>
    </w:p>
    <w:p>
      <w:pPr>
        <w:spacing w:line="200" w:lineRule="exact"/>
        <w:jc w:val="center"/>
        <w:rPr>
          <w:rFonts w:ascii="方正大标宋简体" w:eastAsia="方正大标宋简体"/>
          <w:sz w:val="44"/>
          <w:szCs w:val="44"/>
        </w:rPr>
      </w:pPr>
    </w:p>
    <w:p>
      <w:pPr>
        <w:spacing w:line="560" w:lineRule="exact"/>
        <w:rPr>
          <w:rFonts w:ascii="仿宋_GB2312" w:eastAsia="仿宋_GB2312"/>
          <w:sz w:val="28"/>
          <w:szCs w:val="28"/>
        </w:rPr>
      </w:pPr>
      <w:r>
        <w:rPr>
          <w:rFonts w:hint="eastAsia" w:ascii="仿宋_GB2312" w:eastAsia="仿宋_GB2312"/>
          <w:sz w:val="28"/>
          <w:szCs w:val="28"/>
        </w:rPr>
        <w:t>申报单位：</w:t>
      </w:r>
      <w:r>
        <w:rPr>
          <w:rFonts w:ascii="仿宋_GB2312" w:eastAsia="仿宋_GB2312"/>
          <w:sz w:val="28"/>
          <w:szCs w:val="28"/>
          <w:u w:val="single"/>
        </w:rPr>
        <w:t xml:space="preserve">                       </w:t>
      </w:r>
      <w:r>
        <w:rPr>
          <w:rFonts w:hint="eastAsia" w:ascii="仿宋_GB2312" w:eastAsia="仿宋_GB2312"/>
          <w:sz w:val="28"/>
          <w:szCs w:val="28"/>
        </w:rPr>
        <w:t>（盖章）</w:t>
      </w:r>
    </w:p>
    <w:tbl>
      <w:tblPr>
        <w:tblStyle w:val="5"/>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83"/>
        <w:gridCol w:w="1840"/>
        <w:gridCol w:w="792"/>
        <w:gridCol w:w="1891"/>
        <w:gridCol w:w="1190"/>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796" w:hRule="atLeast"/>
          <w:jc w:val="center"/>
        </w:trPr>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联系人</w:t>
            </w:r>
          </w:p>
        </w:tc>
        <w:tc>
          <w:tcPr>
            <w:tcW w:w="1840"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p>
        </w:tc>
        <w:tc>
          <w:tcPr>
            <w:tcW w:w="792"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手机</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号码</w:t>
            </w:r>
          </w:p>
        </w:tc>
        <w:tc>
          <w:tcPr>
            <w:tcW w:w="1891"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p>
        </w:tc>
        <w:tc>
          <w:tcPr>
            <w:tcW w:w="1190"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申报单位地址</w:t>
            </w:r>
          </w:p>
        </w:tc>
        <w:tc>
          <w:tcPr>
            <w:tcW w:w="2376"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762" w:hRule="atLeast"/>
          <w:jc w:val="center"/>
        </w:trPr>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涉及</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节日</w:t>
            </w:r>
          </w:p>
        </w:tc>
        <w:tc>
          <w:tcPr>
            <w:tcW w:w="1840"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p>
        </w:tc>
        <w:tc>
          <w:tcPr>
            <w:tcW w:w="792"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覆盖</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范围</w:t>
            </w:r>
          </w:p>
        </w:tc>
        <w:tc>
          <w:tcPr>
            <w:tcW w:w="1891"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p>
        </w:tc>
        <w:tc>
          <w:tcPr>
            <w:tcW w:w="1190"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活动</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主题</w:t>
            </w:r>
          </w:p>
        </w:tc>
        <w:tc>
          <w:tcPr>
            <w:tcW w:w="2376"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776" w:hRule="atLeast"/>
          <w:jc w:val="center"/>
        </w:trPr>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起讫</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时间</w:t>
            </w:r>
          </w:p>
        </w:tc>
        <w:tc>
          <w:tcPr>
            <w:tcW w:w="1840"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p>
        </w:tc>
        <w:tc>
          <w:tcPr>
            <w:tcW w:w="792"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成本</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预算</w:t>
            </w:r>
          </w:p>
        </w:tc>
        <w:tc>
          <w:tcPr>
            <w:tcW w:w="5457" w:type="dxa"/>
            <w:gridSpan w:val="3"/>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25" w:hRule="atLeast"/>
          <w:jc w:val="center"/>
        </w:trPr>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黑体" w:eastAsia="仿宋_GB2312"/>
                <w:sz w:val="24"/>
                <w:szCs w:val="24"/>
              </w:rPr>
            </w:pPr>
            <w:r>
              <w:rPr>
                <w:rFonts w:hint="eastAsia" w:ascii="仿宋_GB2312" w:hAnsi="黑体" w:eastAsia="仿宋_GB2312"/>
                <w:sz w:val="24"/>
                <w:szCs w:val="24"/>
              </w:rPr>
              <w:t>创</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意</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方</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案</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简</w:t>
            </w:r>
          </w:p>
          <w:p>
            <w:pPr>
              <w:spacing w:line="300" w:lineRule="exact"/>
              <w:jc w:val="center"/>
              <w:rPr>
                <w:rFonts w:ascii="仿宋_GB2312" w:hAnsi="黑体" w:eastAsia="仿宋_GB2312"/>
                <w:sz w:val="24"/>
                <w:szCs w:val="24"/>
              </w:rPr>
            </w:pPr>
            <w:r>
              <w:rPr>
                <w:rFonts w:hint="eastAsia" w:ascii="仿宋_GB2312" w:hAnsi="黑体" w:eastAsia="仿宋_GB2312"/>
                <w:sz w:val="24"/>
                <w:szCs w:val="24"/>
              </w:rPr>
              <w:t>介</w:t>
            </w:r>
          </w:p>
          <w:p>
            <w:pPr>
              <w:spacing w:line="300" w:lineRule="exact"/>
              <w:jc w:val="center"/>
              <w:rPr>
                <w:rFonts w:ascii="仿宋_GB2312" w:hAnsi="黑体" w:eastAsia="仿宋_GB2312"/>
                <w:sz w:val="24"/>
                <w:szCs w:val="24"/>
              </w:rPr>
            </w:pPr>
          </w:p>
          <w:p>
            <w:pPr>
              <w:spacing w:line="300" w:lineRule="exact"/>
              <w:jc w:val="center"/>
              <w:rPr>
                <w:rFonts w:ascii="仿宋_GB2312" w:eastAsia="仿宋_GB2312"/>
                <w:sz w:val="28"/>
                <w:szCs w:val="28"/>
              </w:rPr>
            </w:pPr>
            <w:r>
              <w:rPr>
                <w:rFonts w:hint="eastAsia" w:ascii="仿宋_GB2312" w:hAnsi="黑体" w:eastAsia="仿宋_GB2312"/>
                <w:sz w:val="24"/>
                <w:szCs w:val="24"/>
              </w:rPr>
              <w:t>（</w:t>
            </w:r>
            <w:r>
              <w:rPr>
                <w:rFonts w:ascii="Times New Roman" w:hAnsi="Times New Roman" w:eastAsia="仿宋_GB2312"/>
                <w:sz w:val="24"/>
                <w:szCs w:val="24"/>
              </w:rPr>
              <w:t>1000</w:t>
            </w:r>
            <w:r>
              <w:rPr>
                <w:rFonts w:hint="eastAsia" w:ascii="仿宋_GB2312" w:hAnsi="黑体" w:eastAsia="仿宋_GB2312"/>
                <w:sz w:val="24"/>
                <w:szCs w:val="24"/>
              </w:rPr>
              <w:t>字以内，可另附页）</w:t>
            </w:r>
          </w:p>
        </w:tc>
        <w:tc>
          <w:tcPr>
            <w:tcW w:w="8089" w:type="dxa"/>
            <w:gridSpan w:val="5"/>
            <w:tcBorders>
              <w:top w:val="single" w:color="000000" w:sz="4" w:space="0"/>
              <w:left w:val="single" w:color="000000" w:sz="4" w:space="0"/>
              <w:bottom w:val="single" w:color="000000" w:sz="4" w:space="0"/>
              <w:right w:val="single" w:color="000000" w:sz="4" w:space="0"/>
            </w:tcBorders>
          </w:tcPr>
          <w:p>
            <w:pPr>
              <w:spacing w:line="300" w:lineRule="exact"/>
              <w:rPr>
                <w:rFonts w:ascii="仿宋_GB2312" w:eastAsia="仿宋_GB2312"/>
                <w:sz w:val="28"/>
                <w:szCs w:val="28"/>
              </w:rPr>
            </w:pPr>
          </w:p>
        </w:tc>
      </w:tr>
    </w:tbl>
    <w:p>
      <w:pPr>
        <w:spacing w:line="400" w:lineRule="exact"/>
        <w:rPr>
          <w:rFonts w:ascii="楷体_GB2312" w:eastAsia="楷体_GB2312"/>
          <w:sz w:val="24"/>
          <w:szCs w:val="24"/>
        </w:rPr>
      </w:pPr>
      <w:r>
        <w:rPr>
          <w:rFonts w:hint="eastAsia" w:ascii="楷体_GB2312" w:hAnsi="宋体" w:eastAsia="楷体_GB2312"/>
          <w:sz w:val="24"/>
          <w:szCs w:val="24"/>
        </w:rPr>
        <w:t>备注：</w:t>
      </w:r>
      <w:r>
        <w:rPr>
          <w:rFonts w:ascii="Times New Roman" w:hAnsi="Times New Roman" w:eastAsia="楷体_GB2312"/>
          <w:sz w:val="24"/>
          <w:szCs w:val="24"/>
        </w:rPr>
        <w:t>1</w:t>
      </w:r>
      <w:r>
        <w:rPr>
          <w:rFonts w:ascii="楷体_GB2312" w:eastAsia="楷体_GB2312"/>
          <w:sz w:val="24"/>
          <w:szCs w:val="24"/>
        </w:rPr>
        <w:t>.</w:t>
      </w:r>
      <w:r>
        <w:rPr>
          <w:rFonts w:hint="eastAsia" w:ascii="楷体_GB2312" w:eastAsia="楷体_GB2312"/>
          <w:sz w:val="24"/>
          <w:szCs w:val="24"/>
        </w:rPr>
        <w:t>一个节日的创意方案一张表；</w:t>
      </w:r>
      <w:r>
        <w:rPr>
          <w:rFonts w:ascii="Times New Roman" w:hAnsi="Times New Roman" w:eastAsia="楷体_GB2312"/>
          <w:sz w:val="24"/>
          <w:szCs w:val="24"/>
        </w:rPr>
        <w:t>2</w:t>
      </w:r>
      <w:r>
        <w:rPr>
          <w:rFonts w:ascii="楷体_GB2312" w:eastAsia="楷体_GB2312"/>
          <w:sz w:val="24"/>
          <w:szCs w:val="24"/>
        </w:rPr>
        <w:t>.</w:t>
      </w:r>
      <w:r>
        <w:rPr>
          <w:rFonts w:hint="eastAsia" w:ascii="楷体_GB2312" w:eastAsia="楷体_GB2312"/>
          <w:sz w:val="24"/>
          <w:szCs w:val="24"/>
        </w:rPr>
        <w:t>“方案简介”需主题明确、逻辑合理、简明扼要，阐明整体结构、实施步骤、环节内涵和现实意义等，具有可操作性；</w:t>
      </w:r>
      <w:r>
        <w:rPr>
          <w:rFonts w:ascii="Times New Roman" w:hAnsi="Times New Roman" w:eastAsia="楷体_GB2312"/>
          <w:sz w:val="24"/>
          <w:szCs w:val="24"/>
        </w:rPr>
        <w:t>3</w:t>
      </w:r>
      <w:r>
        <w:rPr>
          <w:rFonts w:ascii="楷体_GB2312" w:eastAsia="楷体_GB2312"/>
          <w:sz w:val="24"/>
          <w:szCs w:val="24"/>
        </w:rPr>
        <w:t>.</w:t>
      </w:r>
      <w:r>
        <w:rPr>
          <w:rFonts w:hint="eastAsia" w:ascii="楷体_GB2312" w:eastAsia="楷体_GB2312"/>
          <w:sz w:val="24"/>
          <w:szCs w:val="24"/>
        </w:rPr>
        <w:t>“覆盖范围”指活动涉及的地域范围；</w:t>
      </w:r>
      <w:r>
        <w:rPr>
          <w:rFonts w:ascii="Times New Roman" w:hAnsi="Times New Roman" w:eastAsia="楷体_GB2312"/>
          <w:sz w:val="24"/>
          <w:szCs w:val="24"/>
        </w:rPr>
        <w:t>4</w:t>
      </w:r>
      <w:r>
        <w:rPr>
          <w:rFonts w:ascii="楷体_GB2312" w:eastAsia="楷体_GB2312"/>
          <w:sz w:val="24"/>
          <w:szCs w:val="24"/>
        </w:rPr>
        <w:t>.</w:t>
      </w:r>
      <w:r>
        <w:rPr>
          <w:rFonts w:hint="eastAsia" w:ascii="楷体_GB2312" w:eastAsia="楷体_GB2312"/>
          <w:sz w:val="24"/>
          <w:szCs w:val="24"/>
        </w:rPr>
        <w:t>“成本预算”按节俭务实的原则估算和填写。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0EAF"/>
    <w:rsid w:val="000572FF"/>
    <w:rsid w:val="00105703"/>
    <w:rsid w:val="00166A98"/>
    <w:rsid w:val="00186375"/>
    <w:rsid w:val="001B25F0"/>
    <w:rsid w:val="001F05CB"/>
    <w:rsid w:val="00240368"/>
    <w:rsid w:val="002567FC"/>
    <w:rsid w:val="00265D6E"/>
    <w:rsid w:val="00267D14"/>
    <w:rsid w:val="004920C1"/>
    <w:rsid w:val="004A756B"/>
    <w:rsid w:val="004E2D7E"/>
    <w:rsid w:val="004F5B0C"/>
    <w:rsid w:val="00535EB5"/>
    <w:rsid w:val="00561781"/>
    <w:rsid w:val="005C6926"/>
    <w:rsid w:val="00607CE1"/>
    <w:rsid w:val="00614A37"/>
    <w:rsid w:val="006362E3"/>
    <w:rsid w:val="00683A63"/>
    <w:rsid w:val="006A4784"/>
    <w:rsid w:val="00746F3B"/>
    <w:rsid w:val="00751976"/>
    <w:rsid w:val="007E1564"/>
    <w:rsid w:val="007E5F74"/>
    <w:rsid w:val="008432EE"/>
    <w:rsid w:val="008D0EAF"/>
    <w:rsid w:val="008D1747"/>
    <w:rsid w:val="009002F0"/>
    <w:rsid w:val="0098314B"/>
    <w:rsid w:val="009D4337"/>
    <w:rsid w:val="00C01466"/>
    <w:rsid w:val="00C85B10"/>
    <w:rsid w:val="00D31807"/>
    <w:rsid w:val="00D62CA5"/>
    <w:rsid w:val="00DB1C36"/>
    <w:rsid w:val="00DC7035"/>
    <w:rsid w:val="00DE3CE7"/>
    <w:rsid w:val="00E835B2"/>
    <w:rsid w:val="00F15509"/>
    <w:rsid w:val="00F21093"/>
    <w:rsid w:val="2C43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4</Pages>
  <Words>196</Words>
  <Characters>1118</Characters>
  <Lines>9</Lines>
  <Paragraphs>2</Paragraphs>
  <TotalTime>175</TotalTime>
  <ScaleCrop>false</ScaleCrop>
  <LinksUpToDate>false</LinksUpToDate>
  <CharactersWithSpaces>1312</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2019-02-27T02:43:00Z</dcterms:created>
  <dc:creator>崔爱民</dc:creator>
  <cp:lastModifiedBy>WH1384253182</cp:lastModifiedBy>
  <cp:lastPrinted>2019-03-04T08:10:00Z</cp:lastPrinted>
  <dcterms:modified xsi:type="dcterms:W3CDTF">2019-03-11T03:50:23Z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